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pict>
          <v:shape id="_x0000_s1029" o:spid="_x0000_s1029" o:spt="136" type="#_x0000_t136" style="position:absolute;left:0pt;margin-left:5.15pt;margin-top:7.15pt;height:84.75pt;width:436.65pt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滕州市人民政府办公室文件" style="font-family:华文中宋;font-size:36pt;font-weight:bold;v-text-align:center;"/>
          </v:shape>
        </w:pict>
      </w: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滕政办发〔201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pict>
          <v:line id="_x0000_s1030" o:spid="_x0000_s1030" o:spt="20" style="position:absolute;left:0pt;margin-left:14.15pt;margin-top:9.55pt;height:0.05pt;width:405pt;z-index:251661312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20" w:lineRule="exact"/>
        <w:rPr>
          <w:rFonts w:ascii="仿宋_GB2312" w:eastAsia="仿宋_GB2312" w:cs="Times New Roman"/>
          <w:sz w:val="32"/>
          <w:szCs w:val="32"/>
        </w:rPr>
      </w:pPr>
    </w:p>
    <w:p>
      <w:pPr>
        <w:pStyle w:val="2"/>
        <w:spacing w:line="62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滕州市人民政府办公室</w:t>
      </w:r>
    </w:p>
    <w:p>
      <w:pPr>
        <w:pStyle w:val="2"/>
        <w:spacing w:line="620" w:lineRule="exact"/>
        <w:jc w:val="center"/>
        <w:rPr>
          <w:rFonts w:ascii="方正小标宋简体" w:hAnsi="方正小标宋简体" w:eastAsia="方正小标宋简体" w:cs="Times New Roman"/>
          <w:spacing w:val="-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32"/>
          <w:sz w:val="44"/>
          <w:szCs w:val="44"/>
        </w:rPr>
        <w:t>关于实施流程再造推进“一窗受理·一次办好”</w:t>
      </w:r>
    </w:p>
    <w:p>
      <w:pPr>
        <w:pStyle w:val="2"/>
        <w:spacing w:line="62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改革的意见</w:t>
      </w:r>
    </w:p>
    <w:p>
      <w:pPr>
        <w:pStyle w:val="5"/>
        <w:shd w:val="clear" w:color="auto" w:fill="FFFFFF"/>
        <w:spacing w:before="0" w:beforeAutospacing="0" w:after="0" w:afterAutospacing="0" w:line="620" w:lineRule="exact"/>
        <w:rPr>
          <w:rStyle w:val="8"/>
          <w:rFonts w:cs="Times New Roman"/>
          <w:color w:val="000000"/>
          <w:sz w:val="21"/>
          <w:szCs w:val="21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各镇人民政府、街道办事处，滕州经济开发区管委会，市政府各部门，各企事业单位：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新时代中国特色社会主义思想和党的十九大精神，按照省政府、枣庄市政府关于“一窗受理·一次办好”改革的整体要求，进一步加快政府职能转变，通过业务流程革命性再造，强化制度保障、突出关键环节、聚焦重点领域，打造“审批事项少、办事效率高、服务质量优、群众获得感强”的一流营商环境。经市政府同意，现提出具体意见如下：</w:t>
      </w:r>
    </w:p>
    <w:p>
      <w:pPr>
        <w:adjustRightInd w:val="0"/>
        <w:snapToGrid w:val="0"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一、强化流程再造制度保障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（一）健全统筹推进机制。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完善推进政府职能转变和“放管服”改革协调小组（以下简称协调小组），建立政府主要负责同志抓落实的工作机制。发挥理顺政府办公室牵头作用，完善协调小组内部工作运行，切实发挥各专题组、保障组和工作专班功能。加强规划引领，增强改革的系统性、整体性、连续性。（市政府办公室、市审批服务局牵头）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（二）建立协同运行机制。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提前服务、容缺受理、数据共享、材料互认等方式，打破部门边界，构建跨部门横向连通的审批服务流程。建立跨层级纵向联动的服务模式，对重要事项、重点项目实行集中办公、上下协同、专班推进，改“串联”审批为“并联”审批。优化机关内部工作流程，明确设计单位对外牵头科室，实行“一口对外”，限时办结，提高审批服务效率。（涉及各部门负责）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（三）构建法治保障机制。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按照上级优化营商环境立法精神，抓好“一窗受理·一次办好”改革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涉及工作的落实。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月底前，组织清理一批滞后流程再造改革要求、不利于优化营商环境的文件，做到应改尽改、应废尽废。（市司法局牵头）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>　（四）完善监督考评机制。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建立事项、渠道、部门全覆盖的政务服务“好差评”制度（市政府办公室、市审批服务局牵头）。发挥新闻媒体舆论监督作用，倒逼提升政务服务效能（市委宣传部负责）。建立约谈制度，对在“放管服”改革考核评估、营商环境评价中排名靠后的部门（单位）和镇街的主要负责人进行约谈（市政府办公室、市发展改革局负责）。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二、突出流程再造关键环节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（五）推动“一链办理”流程优化。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推动政务服务事项标准化，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实现同一事项名称、编码、类型、设定依据、行使层级、受理条件、服务对象、申请材料、办理时限、收费项目等要素省、市、县“三级十同”。按照“一个窗口、一套材料、一张表单、一个流程”的要求，开展“一件事”主题式服务，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月底前，推出面向企业和群众的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项主题式服务流程标准。持续“减事项、减环节、减材料、减时间”，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年内大幅度压减本级行政许可事项，尽可能减少办事环节、申请人提交材料和审批办理时限。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月底前，组织开展变相审批集中清理整治。（市审批服务局牵头）</w:t>
      </w:r>
    </w:p>
    <w:p>
      <w:pPr>
        <w:adjustRightInd w:val="0"/>
        <w:snapToGrid w:val="0"/>
        <w:spacing w:line="600" w:lineRule="exact"/>
        <w:ind w:firstLine="645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（六）完善“一网通办”信息支撑。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政务服务事项办理出入口向统一平台集中工程要求，实现事项受理、审查、决定、收费、咨询等全流程在线办理。加强人口、法人单位等基础信息应用，加快推进历史数据电子化归档，推行证明材料在线获取、申请材料跨部门复用，实现“一处填报、全网通用”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推出一批“秒批、秒办”事项。建立健全政务服务动态优化工作机制，探索建立“管运分离”工作模式，实现政务服务迭代升级更新（市审批服务局、市大数据服务中心负责）。深入推进信息资源整合共享，全面清理整合部门已有自建系统，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月底前，涉及各部门分别制定清理整合计划，报经市政府同意后实施，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月底前基本完成整合工作（涉及各部门负责）。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（七）深化“一窗受理”集成服务。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推进政务服务大厅全领域无差别“一窗受理”改革，健全“前台综合受理、后台分类审批、统一窗口出件”服务机制。政务服务大厅建立健全帮办代办、“吐槽找茬”、窗口无权否决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超时即审批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机制（市审批服务局负责）。参照优化“爱山东”</w:t>
      </w:r>
      <w:r>
        <w:rPr>
          <w:rFonts w:ascii="仿宋_GB2312" w:hAnsi="仿宋_GB2312" w:eastAsia="仿宋_GB2312" w:cs="仿宋_GB2312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服务功能，制定各级、各部门接入服务事项、电子证照应用等清单，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月底前，完成上级要求的各类服务接入和电子证照“亮证”应用，前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位高频办件事项全部实现掌上办理（市大数据服务中心、市审批服务局牵头）。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三、聚焦流程再造重点领域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（八）开展营商环境优化提升行动。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对照国家、省和枣庄市营商环境评价有关一级指标，逐一明确牵头部门，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组织各牵头部门对标最高标准、最好水平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分类开展专项提升行动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（市发展改革局牵头）。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月底前，将企业开办时间压缩到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个工作日内；加快工程建设项目审批制度改革，确保全过程审批时间控制在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个工作日以内（市审批服务局负责）。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月底前，工程建设项目审批管理系统与相关系统平台实现互联互通；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起，将工程建设项目审批纳入统一信息数据平台运行。分类组织高频工程建设项目审批流程再造，进一步精简低风险工程建设项目审批事项，压缩办理时限（市审批服务局、市住房城乡建设局牵头）。优化土地审批服务流程，使用好农用地转用和土地征收审批权限，进一步减少审批时限（市自然资源局负责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做好省营商环境评价反馈问题整改工作，加强评价结果运用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（市发展改革局牵头）。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（九）开展民生服务流程再造行动。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月底前，聚焦社会保障、卫生健康、就业创业、民政救助、户籍办理、公安交管、交通运输等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个重点领域和老年人、残疾人、退役军人、高校毕业生、高层次人才等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类重点人群，选取高频民生服务事项，集中开展流程优化专项行动。（市政府办公室、市审批服务局牵头，涉及各部门负责）积极推行告知承诺、预约办理、延时办理等服务方式，推动民生事项“简易办、就近办、快捷办”。（市审批服务局负责）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（十）开展监管效率提升行动。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全面推行市场监管领域跨部门“双随机、一公开”联合监管，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年双随机抽查覆盖企业比例不低于</w:t>
      </w:r>
      <w:r>
        <w:rPr>
          <w:rFonts w:ascii="仿宋_GB2312" w:hAnsi="仿宋_GB2312" w:eastAsia="仿宋_GB2312" w:cs="仿宋_GB2312"/>
          <w:sz w:val="32"/>
          <w:szCs w:val="32"/>
        </w:rPr>
        <w:t>5%</w:t>
      </w:r>
      <w:r>
        <w:rPr>
          <w:rFonts w:hint="eastAsia" w:ascii="仿宋_GB2312" w:hAnsi="仿宋_GB2312" w:eastAsia="仿宋_GB2312" w:cs="仿宋_GB2312"/>
          <w:sz w:val="32"/>
          <w:szCs w:val="32"/>
        </w:rPr>
        <w:t>，跨部门联合抽查次数不低于总抽查数的</w:t>
      </w:r>
      <w:r>
        <w:rPr>
          <w:rFonts w:ascii="仿宋_GB2312" w:hAnsi="仿宋_GB2312" w:eastAsia="仿宋_GB2312" w:cs="仿宋_GB2312"/>
          <w:sz w:val="32"/>
          <w:szCs w:val="32"/>
        </w:rPr>
        <w:t>10%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年实现部门联合随机抽查常态化。（市市场监管局负责）推行“互联网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监管”，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月底前，完成本级平台与上级“互联网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”系统对接，建立常态化监管数据归集共享机制，实现监管事项统一接入、统一反馈，建成监管“一张网”。（市政府办公室、市大数据服务中心、市市场监管局负责）强化信用监管，根据信用等级采取差异化监管措施，实行联合激励、联合惩戒，让“守信者一路绿灯、失信者寸步难行”。（市发展改革局、市市场监管局负责）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800" w:firstLineChars="15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滕州市人民政府办公室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shd w:val="solid" w:color="FFFFFF" w:fill="auto"/>
        <w:topLinePunct/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left="1027" w:hanging="1026" w:hangingChars="489"/>
        <w:rPr>
          <w:rFonts w:ascii="仿宋_GB2312" w:hAnsi="Batang" w:eastAsia="仿宋_GB2312" w:cs="Times New Roman"/>
          <w:sz w:val="28"/>
          <w:szCs w:val="28"/>
        </w:rPr>
      </w:pPr>
      <w:r>
        <w:pict>
          <v:line id="直接连接符 3" o:spid="_x0000_s1026" o:spt="20" style="position:absolute;left:0pt;margin-left:-3.75pt;margin-top:1.2pt;height:0pt;width:432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hAnsi="Batang" w:eastAsia="仿宋_GB2312" w:cs="仿宋_GB2312"/>
          <w:b/>
          <w:bCs/>
          <w:sz w:val="28"/>
          <w:szCs w:val="28"/>
        </w:rPr>
        <w:t>抄</w:t>
      </w:r>
      <w:r>
        <w:rPr>
          <w:rFonts w:ascii="仿宋_GB2312" w:hAnsi="Batang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Batang" w:eastAsia="仿宋_GB2312" w:cs="仿宋_GB2312"/>
          <w:b/>
          <w:bCs/>
          <w:sz w:val="28"/>
          <w:szCs w:val="28"/>
        </w:rPr>
        <w:t>送：</w:t>
      </w:r>
      <w:r>
        <w:rPr>
          <w:rFonts w:hint="eastAsia" w:ascii="仿宋_GB2312" w:hAnsi="Batang" w:eastAsia="仿宋_GB2312" w:cs="仿宋_GB2312"/>
          <w:sz w:val="28"/>
          <w:szCs w:val="28"/>
        </w:rPr>
        <w:t>市委有关部门，市人大常委会办公室，市政协办公室，市监察委，市法院，市检察院，市人武部。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pict>
          <v:line id="直接连接符 2" o:spid="_x0000_s1027" o:spt="20" style="position:absolute;left:0pt;margin-left:-3.9pt;margin-top:31.05pt;height:0pt;width:432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pict>
          <v:line id="直接连接符 1" o:spid="_x0000_s1028" o:spt="20" style="position:absolute;left:0pt;margin-left:-3.75pt;margin-top:2.2pt;height:0pt;width:43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Batang" w:eastAsia="仿宋_GB2312" w:cs="仿宋_GB2312"/>
          <w:sz w:val="28"/>
          <w:szCs w:val="28"/>
        </w:rPr>
        <w:t>滕州市人民政府办公室</w:t>
      </w:r>
      <w:r>
        <w:rPr>
          <w:rFonts w:ascii="仿宋_GB2312" w:hAnsi="Batang" w:eastAsia="仿宋_GB2312" w:cs="仿宋_GB2312"/>
          <w:sz w:val="28"/>
          <w:szCs w:val="28"/>
        </w:rPr>
        <w:t xml:space="preserve">                     2019</w:t>
      </w:r>
      <w:r>
        <w:rPr>
          <w:rFonts w:hint="eastAsia" w:ascii="仿宋_GB2312" w:hAnsi="Batang" w:eastAsia="仿宋_GB2312" w:cs="仿宋_GB2312"/>
          <w:sz w:val="28"/>
          <w:szCs w:val="28"/>
        </w:rPr>
        <w:t>年</w:t>
      </w:r>
      <w:r>
        <w:rPr>
          <w:rFonts w:ascii="仿宋_GB2312" w:hAnsi="Batang" w:eastAsia="仿宋_GB2312" w:cs="仿宋_GB2312"/>
          <w:sz w:val="28"/>
          <w:szCs w:val="28"/>
        </w:rPr>
        <w:t>10</w:t>
      </w:r>
      <w:r>
        <w:rPr>
          <w:rFonts w:hint="eastAsia" w:ascii="仿宋_GB2312" w:hAnsi="Batang" w:eastAsia="仿宋_GB2312" w:cs="仿宋_GB2312"/>
          <w:sz w:val="28"/>
          <w:szCs w:val="28"/>
        </w:rPr>
        <w:t>月</w:t>
      </w:r>
      <w:r>
        <w:rPr>
          <w:rFonts w:hint="eastAsia" w:ascii="仿宋_GB2312" w:hAnsi="Batang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Batang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701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8B7075-0D86-416F-87F5-AAD8E2CA09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059B7D-2A66-4EAC-869A-E406E14D0B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7A6916A-60D8-46B8-9995-44F2A1B307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54364BA-26B7-4F2B-9A72-8B91129283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E2049E5-542B-4E89-B0F1-FC7CF963B498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  <w:embedRegular r:id="rId6" w:fontKey="{C841841A-9253-4646-8838-2A68077BE462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宋体" w:cs="宋体"/>
        <w:sz w:val="24"/>
        <w:szCs w:val="24"/>
      </w:rPr>
    </w:pPr>
    <w:r>
      <w:rPr>
        <w:rStyle w:val="9"/>
        <w:rFonts w:ascii="宋体" w:hAnsi="宋体" w:cs="宋体"/>
        <w:sz w:val="24"/>
        <w:szCs w:val="24"/>
      </w:rPr>
      <w:fldChar w:fldCharType="begin"/>
    </w:r>
    <w:r>
      <w:rPr>
        <w:rStyle w:val="9"/>
        <w:rFonts w:ascii="宋体" w:hAnsi="宋体" w:cs="宋体"/>
        <w:sz w:val="24"/>
        <w:szCs w:val="24"/>
      </w:rPr>
      <w:instrText xml:space="preserve">PAGE  </w:instrText>
    </w:r>
    <w:r>
      <w:rPr>
        <w:rStyle w:val="9"/>
        <w:rFonts w:ascii="宋体" w:hAnsi="宋体" w:cs="宋体"/>
        <w:sz w:val="24"/>
        <w:szCs w:val="24"/>
      </w:rPr>
      <w:fldChar w:fldCharType="separate"/>
    </w:r>
    <w:r>
      <w:rPr>
        <w:rStyle w:val="9"/>
        <w:rFonts w:ascii="宋体" w:hAnsi="宋体" w:cs="宋体"/>
        <w:sz w:val="24"/>
        <w:szCs w:val="24"/>
      </w:rPr>
      <w:t>- 6 -</w:t>
    </w:r>
    <w:r>
      <w:rPr>
        <w:rStyle w:val="9"/>
        <w:rFonts w:ascii="宋体" w:hAnsi="宋体" w:cs="宋体"/>
        <w:sz w:val="24"/>
        <w:szCs w:val="24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yYTkyZjE0ZTAxMTM0ODE3MDgwZTI1Yzc4Zjc1NDEifQ=="/>
  </w:docVars>
  <w:rsids>
    <w:rsidRoot w:val="0068016A"/>
    <w:rsid w:val="000142A1"/>
    <w:rsid w:val="002E0E53"/>
    <w:rsid w:val="003779F8"/>
    <w:rsid w:val="00406C02"/>
    <w:rsid w:val="0044082B"/>
    <w:rsid w:val="004C41AC"/>
    <w:rsid w:val="004D7BBA"/>
    <w:rsid w:val="005577AA"/>
    <w:rsid w:val="006100CC"/>
    <w:rsid w:val="0068016A"/>
    <w:rsid w:val="00704809"/>
    <w:rsid w:val="00805118"/>
    <w:rsid w:val="00BD6BC6"/>
    <w:rsid w:val="00BF00E7"/>
    <w:rsid w:val="00C27D62"/>
    <w:rsid w:val="00C707C3"/>
    <w:rsid w:val="00C84A10"/>
    <w:rsid w:val="00CB5503"/>
    <w:rsid w:val="00D77AF9"/>
    <w:rsid w:val="00E04B2D"/>
    <w:rsid w:val="00E5160F"/>
    <w:rsid w:val="00E544E4"/>
    <w:rsid w:val="00E953FD"/>
    <w:rsid w:val="00F46B83"/>
    <w:rsid w:val="10806359"/>
    <w:rsid w:val="1BA90835"/>
    <w:rsid w:val="20A61482"/>
    <w:rsid w:val="4DDE3836"/>
    <w:rsid w:val="51B3325D"/>
    <w:rsid w:val="5FC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宋体"/>
      <w:kern w:val="0"/>
      <w:sz w:val="20"/>
      <w:szCs w:val="20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customStyle="1" w:styleId="10">
    <w:name w:val="纯文本 Char"/>
    <w:link w:val="2"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1">
    <w:name w:val="Plain Text Char1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纯文本 Char1"/>
    <w:semiHidden/>
    <w:qFormat/>
    <w:uiPriority w:val="99"/>
    <w:rPr>
      <w:rFonts w:ascii="宋体" w:hAnsi="Courier New" w:eastAsia="宋体" w:cs="宋体"/>
      <w:sz w:val="21"/>
      <w:szCs w:val="21"/>
    </w:rPr>
  </w:style>
  <w:style w:type="character" w:customStyle="1" w:styleId="13">
    <w:name w:val="页眉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14">
    <w:name w:val="页脚 Char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syyw</Company>
  <Pages>6</Pages>
  <Words>2609</Words>
  <Characters>2696</Characters>
  <Lines>68</Lines>
  <Paragraphs>30</Paragraphs>
  <TotalTime>0</TotalTime>
  <ScaleCrop>false</ScaleCrop>
  <LinksUpToDate>false</LinksUpToDate>
  <CharactersWithSpaces>2774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2019-10-06T01:34:00Z</dcterms:created>
  <dc:creator>tengzhou</dc:creator>
  <cp:lastModifiedBy>爱新觉罗-琛</cp:lastModifiedBy>
  <dcterms:modified xsi:type="dcterms:W3CDTF">2022-11-22T08:27:22Z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84AA7B753E814F798923614C8A15417C</vt:lpwstr>
  </property>
</Properties>
</file>